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13F84" w:rsidRPr="00E761A6" w:rsidRDefault="009F6BAC" w:rsidP="00A800DE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Muller Black" w:hAnsi="Muller Black" w:cs="Muller Regular"/>
          <w:b/>
          <w:bCs/>
          <w:color w:val="2B3435"/>
          <w:szCs w:val="18"/>
          <w:u w:val="single"/>
        </w:rPr>
      </w:pPr>
      <w:r>
        <w:rPr>
          <w:rFonts w:ascii="Roboto Black" w:hAnsi="Roboto Black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5309870</wp:posOffset>
                </wp:positionH>
                <wp:positionV relativeFrom="margin">
                  <wp:posOffset>-901065</wp:posOffset>
                </wp:positionV>
                <wp:extent cx="1347470" cy="1284605"/>
                <wp:effectExtent l="0" t="0" r="5080" b="0"/>
                <wp:wrapSquare wrapText="bothSides"/>
                <wp:docPr id="4" name="Triangle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1347470" cy="1284605"/>
                        </a:xfrm>
                        <a:prstGeom prst="rtTriangle">
                          <a:avLst/>
                        </a:prstGeom>
                        <a:solidFill>
                          <a:srgbClr val="47AAAE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BB55D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4" o:spid="_x0000_s1026" type="#_x0000_t6" style="position:absolute;margin-left:418.1pt;margin-top:-70.95pt;width:106.1pt;height:101.1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" fillcolor="#47aaae" stroked="f">
                <v:path arrowok="t"/>
                <w10:wrap type="square" anchorx="margin" anchory="margin"/>
              </v:shape>
            </w:pict>
          </mc:Fallback>
        </mc:AlternateContent>
      </w:r>
      <w:r w:rsidR="000F4153" w:rsidRPr="000F4153">
        <w:rPr>
          <w:rFonts w:ascii="Muller Black" w:hAnsi="Muller Black" w:cs="Muller Regular"/>
          <w:bCs/>
          <w:color w:val="2B3435"/>
          <w:sz w:val="18"/>
          <w:szCs w:val="18"/>
        </w:rPr>
        <w:br/>
      </w:r>
    </w:p>
    <w:p w:rsidR="00590B62" w:rsidRDefault="00590B62" w:rsidP="00A800DE">
      <w:pPr>
        <w:pStyle w:val="Titre"/>
        <w:rPr>
          <w:rFonts w:ascii="Muller Black" w:hAnsi="Muller Black" w:cs="Calibri"/>
          <w:b/>
          <w:iCs/>
          <w:szCs w:val="36"/>
        </w:rPr>
      </w:pPr>
      <w:r w:rsidRPr="00590B62">
        <w:rPr>
          <w:rFonts w:ascii="Muller Black" w:hAnsi="Muller Black" w:cs="Calibri"/>
          <w:b/>
          <w:iCs/>
          <w:szCs w:val="36"/>
        </w:rPr>
        <w:t>TAXE DE SEJOUR 2017</w:t>
      </w:r>
    </w:p>
    <w:p w:rsidR="00A800DE" w:rsidRPr="00590B62" w:rsidRDefault="00A800DE" w:rsidP="00A800DE">
      <w:pPr>
        <w:pStyle w:val="Titre"/>
        <w:rPr>
          <w:rFonts w:ascii="Muller Black" w:hAnsi="Muller Black" w:cs="Calibri"/>
          <w:b/>
          <w:iCs/>
          <w:szCs w:val="36"/>
        </w:rPr>
      </w:pPr>
    </w:p>
    <w:p w:rsidR="00590B62" w:rsidRDefault="00590B62" w:rsidP="00590B62">
      <w:pPr>
        <w:jc w:val="center"/>
        <w:rPr>
          <w:rFonts w:ascii="Muller Black" w:hAnsi="Muller Black" w:cs="Calibri"/>
          <w:i/>
          <w:iCs/>
        </w:rPr>
      </w:pPr>
      <w:r w:rsidRPr="00590B62">
        <w:rPr>
          <w:rFonts w:ascii="Muller Black" w:hAnsi="Muller Black" w:cs="Calibri"/>
          <w:i/>
          <w:iCs/>
        </w:rPr>
        <w:t xml:space="preserve">  Tarifs applicables sur DINAN AGGLOMERATION</w:t>
      </w:r>
    </w:p>
    <w:p w:rsidR="00590B62" w:rsidRPr="006A5ADD" w:rsidRDefault="00590B62" w:rsidP="00590B62">
      <w:pPr>
        <w:jc w:val="center"/>
        <w:rPr>
          <w:rFonts w:ascii="Muller Black" w:hAnsi="Muller Black" w:cs="Calibri"/>
          <w:i/>
          <w:iCs/>
          <w:sz w:val="16"/>
          <w:szCs w:val="16"/>
        </w:rPr>
      </w:pPr>
      <w:r>
        <w:rPr>
          <w:rFonts w:ascii="Muller Black" w:hAnsi="Muller Black" w:cs="Calibri"/>
          <w:i/>
          <w:iCs/>
        </w:rPr>
        <w:t xml:space="preserve">     </w:t>
      </w:r>
      <w:r w:rsidR="006A5ADD" w:rsidRPr="006A5ADD">
        <w:rPr>
          <w:rFonts w:ascii="Muller Black" w:hAnsi="Muller Black" w:cs="Calibri"/>
          <w:i/>
          <w:iCs/>
          <w:sz w:val="16"/>
          <w:szCs w:val="16"/>
        </w:rPr>
        <w:t>Délibération du 23/01/2017</w:t>
      </w:r>
      <w:r w:rsidRPr="006A5ADD">
        <w:rPr>
          <w:rFonts w:ascii="Muller Black" w:hAnsi="Muller Black" w:cs="Calibri"/>
          <w:i/>
          <w:iCs/>
          <w:sz w:val="16"/>
          <w:szCs w:val="16"/>
        </w:rPr>
        <w:t xml:space="preserve">    </w:t>
      </w:r>
    </w:p>
    <w:p w:rsidR="00590B62" w:rsidRPr="00590B62" w:rsidRDefault="00590B62" w:rsidP="00590B62">
      <w:pPr>
        <w:jc w:val="center"/>
        <w:rPr>
          <w:rFonts w:ascii="Muller Black" w:hAnsi="Muller Black" w:cs="Calibri"/>
          <w:i/>
          <w:iCs/>
          <w:sz w:val="6"/>
          <w:szCs w:val="16"/>
        </w:rPr>
      </w:pPr>
    </w:p>
    <w:p w:rsidR="00E761A6" w:rsidRPr="00590B62" w:rsidRDefault="00590B62" w:rsidP="00590B62">
      <w:pPr>
        <w:jc w:val="center"/>
        <w:rPr>
          <w:rFonts w:ascii="Muller Black" w:hAnsi="Muller Black" w:cs="Calibri"/>
          <w:b/>
          <w:iCs/>
          <w:szCs w:val="28"/>
          <w:u w:val="single"/>
        </w:rPr>
      </w:pPr>
      <w:r w:rsidRPr="00590B62">
        <w:rPr>
          <w:rFonts w:ascii="Muller Black" w:hAnsi="Muller Black" w:cs="Calibri"/>
          <w:b/>
          <w:iCs/>
          <w:szCs w:val="28"/>
          <w:u w:val="single"/>
        </w:rPr>
        <w:t>Période de perception</w:t>
      </w:r>
      <w:r w:rsidRPr="00590B62">
        <w:rPr>
          <w:rFonts w:ascii="Calibri" w:hAnsi="Calibri" w:cs="Calibri"/>
          <w:b/>
          <w:iCs/>
          <w:szCs w:val="28"/>
          <w:u w:val="single"/>
        </w:rPr>
        <w:t> </w:t>
      </w:r>
      <w:r w:rsidRPr="00590B62">
        <w:rPr>
          <w:rFonts w:ascii="Muller Black" w:hAnsi="Muller Black" w:cs="Calibri"/>
          <w:b/>
          <w:iCs/>
          <w:szCs w:val="28"/>
          <w:u w:val="single"/>
        </w:rPr>
        <w:t>: du 1</w:t>
      </w:r>
      <w:r w:rsidRPr="00590B62">
        <w:rPr>
          <w:rFonts w:ascii="Muller Black" w:hAnsi="Muller Black" w:cs="Calibri"/>
          <w:b/>
          <w:iCs/>
          <w:szCs w:val="28"/>
          <w:u w:val="single"/>
          <w:vertAlign w:val="superscript"/>
        </w:rPr>
        <w:t xml:space="preserve">er </w:t>
      </w:r>
      <w:r w:rsidRPr="00590B62">
        <w:rPr>
          <w:rFonts w:ascii="Muller Black" w:hAnsi="Muller Black" w:cs="Calibri"/>
          <w:b/>
          <w:iCs/>
          <w:szCs w:val="28"/>
          <w:u w:val="single"/>
        </w:rPr>
        <w:t xml:space="preserve"> janvier  au 31 décembre</w:t>
      </w:r>
    </w:p>
    <w:p w:rsidR="00684249" w:rsidRPr="00F11910" w:rsidRDefault="00684249" w:rsidP="00684249">
      <w:pPr>
        <w:pStyle w:val="NormalWeb"/>
        <w:shd w:val="clear" w:color="auto" w:fill="FFFFFF"/>
        <w:spacing w:before="0" w:beforeAutospacing="0" w:after="120" w:afterAutospacing="0"/>
        <w:rPr>
          <w:rFonts w:ascii="Muller Medium" w:hAnsi="Muller Medium"/>
          <w:b/>
          <w:color w:val="000000"/>
          <w:sz w:val="2"/>
          <w:szCs w:val="21"/>
          <w:u w:val="single"/>
        </w:rPr>
      </w:pPr>
    </w:p>
    <w:tbl>
      <w:tblPr>
        <w:tblpPr w:leftFromText="141" w:rightFromText="141" w:vertAnchor="text" w:horzAnchor="margin" w:tblpXSpec="center" w:tblpY="183"/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4"/>
        <w:gridCol w:w="992"/>
      </w:tblGrid>
      <w:tr w:rsidR="00590B62" w:rsidRPr="00251116" w:rsidTr="00590B62">
        <w:trPr>
          <w:trHeight w:val="699"/>
        </w:trPr>
        <w:tc>
          <w:tcPr>
            <w:tcW w:w="10064" w:type="dxa"/>
            <w:shd w:val="clear" w:color="auto" w:fill="auto"/>
          </w:tcPr>
          <w:p w:rsidR="00590B62" w:rsidRPr="00590B62" w:rsidRDefault="00590B62" w:rsidP="00B20EBE">
            <w:pPr>
              <w:jc w:val="center"/>
              <w:rPr>
                <w:rFonts w:ascii="Muller Light" w:eastAsia="Calibri" w:hAnsi="Muller Light"/>
                <w:b/>
                <w:color w:val="333399"/>
                <w:sz w:val="16"/>
                <w:szCs w:val="16"/>
                <w:lang w:eastAsia="en-US"/>
              </w:rPr>
            </w:pPr>
          </w:p>
          <w:p w:rsidR="00590B62" w:rsidRPr="00590B62" w:rsidRDefault="00590B62" w:rsidP="00590B62">
            <w:pPr>
              <w:jc w:val="center"/>
              <w:rPr>
                <w:rFonts w:ascii="Muller Light" w:eastAsia="Calibri" w:hAnsi="Muller Light"/>
                <w:b/>
                <w:color w:val="333399"/>
                <w:sz w:val="28"/>
                <w:szCs w:val="28"/>
                <w:lang w:eastAsia="en-US"/>
              </w:rPr>
            </w:pPr>
            <w:r w:rsidRPr="00590B62">
              <w:rPr>
                <w:rFonts w:ascii="Muller Light" w:eastAsia="Calibri" w:hAnsi="Muller Light"/>
                <w:b/>
                <w:color w:val="333399"/>
                <w:szCs w:val="28"/>
                <w:lang w:eastAsia="en-US"/>
              </w:rPr>
              <w:t>Catégories d’hébergement</w:t>
            </w:r>
          </w:p>
        </w:tc>
        <w:tc>
          <w:tcPr>
            <w:tcW w:w="992" w:type="dxa"/>
            <w:shd w:val="clear" w:color="auto" w:fill="auto"/>
          </w:tcPr>
          <w:p w:rsidR="00590B62" w:rsidRPr="00590B62" w:rsidRDefault="00590B62" w:rsidP="00B20EBE">
            <w:pPr>
              <w:jc w:val="center"/>
              <w:rPr>
                <w:rFonts w:ascii="Muller Light" w:eastAsia="Calibri" w:hAnsi="Muller Light"/>
                <w:b/>
                <w:color w:val="333399"/>
                <w:szCs w:val="28"/>
                <w:lang w:eastAsia="en-US"/>
              </w:rPr>
            </w:pPr>
          </w:p>
          <w:p w:rsidR="00590B62" w:rsidRPr="00590B62" w:rsidRDefault="00590B62" w:rsidP="00B20EBE">
            <w:pPr>
              <w:jc w:val="center"/>
              <w:rPr>
                <w:rFonts w:ascii="Muller Light" w:eastAsia="Calibri" w:hAnsi="Muller Light"/>
                <w:b/>
                <w:color w:val="333399"/>
                <w:szCs w:val="28"/>
                <w:lang w:eastAsia="en-US"/>
              </w:rPr>
            </w:pPr>
            <w:r w:rsidRPr="00590B62">
              <w:rPr>
                <w:rFonts w:ascii="Muller Light" w:eastAsia="Calibri" w:hAnsi="Muller Light"/>
                <w:b/>
                <w:color w:val="333399"/>
                <w:szCs w:val="28"/>
                <w:lang w:eastAsia="en-US"/>
              </w:rPr>
              <w:t>Tarifs</w:t>
            </w:r>
          </w:p>
        </w:tc>
      </w:tr>
      <w:tr w:rsidR="00590B62" w:rsidRPr="00590B62" w:rsidTr="00B20EBE">
        <w:tc>
          <w:tcPr>
            <w:tcW w:w="10064" w:type="dxa"/>
            <w:shd w:val="clear" w:color="auto" w:fill="auto"/>
          </w:tcPr>
          <w:p w:rsidR="00590B62" w:rsidRPr="00590B62" w:rsidRDefault="00590B62" w:rsidP="00B20EBE">
            <w:pPr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</w:pPr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>Palaces et tous les autres établissements présentant des caractéristiques de classement touristique équivalentes</w:t>
            </w:r>
          </w:p>
        </w:tc>
        <w:tc>
          <w:tcPr>
            <w:tcW w:w="992" w:type="dxa"/>
            <w:shd w:val="clear" w:color="auto" w:fill="auto"/>
          </w:tcPr>
          <w:p w:rsidR="00590B62" w:rsidRPr="00590B62" w:rsidRDefault="00590B62" w:rsidP="00590B62">
            <w:pPr>
              <w:jc w:val="center"/>
              <w:rPr>
                <w:rFonts w:ascii="Muller Light" w:eastAsia="Calibri" w:hAnsi="Muller Light"/>
                <w:b/>
                <w:color w:val="333399"/>
                <w:sz w:val="10"/>
                <w:szCs w:val="28"/>
                <w:lang w:eastAsia="en-US"/>
              </w:rPr>
            </w:pPr>
          </w:p>
          <w:p w:rsidR="00590B62" w:rsidRPr="00590B62" w:rsidRDefault="00590B62" w:rsidP="00590B62">
            <w:pPr>
              <w:jc w:val="center"/>
              <w:rPr>
                <w:rFonts w:ascii="Muller Light" w:eastAsia="Calibri" w:hAnsi="Muller Light"/>
                <w:b/>
                <w:color w:val="333399"/>
                <w:sz w:val="20"/>
                <w:szCs w:val="28"/>
                <w:lang w:eastAsia="en-US"/>
              </w:rPr>
            </w:pPr>
            <w:r w:rsidRPr="00590B62">
              <w:rPr>
                <w:rFonts w:ascii="Muller Light" w:eastAsia="Calibri" w:hAnsi="Muller Light"/>
                <w:b/>
                <w:color w:val="333399"/>
                <w:sz w:val="20"/>
                <w:szCs w:val="28"/>
                <w:lang w:eastAsia="en-US"/>
              </w:rPr>
              <w:t>1,50€</w:t>
            </w:r>
          </w:p>
        </w:tc>
      </w:tr>
      <w:tr w:rsidR="00590B62" w:rsidRPr="00590B62" w:rsidTr="00B20EBE">
        <w:tc>
          <w:tcPr>
            <w:tcW w:w="10064" w:type="dxa"/>
            <w:shd w:val="clear" w:color="auto" w:fill="auto"/>
          </w:tcPr>
          <w:p w:rsidR="00590B62" w:rsidRPr="00590B62" w:rsidRDefault="00590B62" w:rsidP="00B20EBE">
            <w:pPr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</w:pPr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>Hôtels de tourisme 5 étoiles, résidences de tourisme 5 étoiles, meublés de tourisme 5 étoiles et  tous les autres établissements présentant des caractéristiques de classement touristique équivalentes</w:t>
            </w:r>
          </w:p>
        </w:tc>
        <w:tc>
          <w:tcPr>
            <w:tcW w:w="992" w:type="dxa"/>
            <w:shd w:val="clear" w:color="auto" w:fill="auto"/>
          </w:tcPr>
          <w:p w:rsidR="00590B62" w:rsidRPr="00590B62" w:rsidRDefault="00590B62" w:rsidP="00590B62">
            <w:pPr>
              <w:jc w:val="center"/>
              <w:rPr>
                <w:rFonts w:ascii="Muller Light" w:eastAsia="Calibri" w:hAnsi="Muller Light"/>
                <w:b/>
                <w:color w:val="333399"/>
                <w:sz w:val="10"/>
                <w:szCs w:val="28"/>
                <w:lang w:eastAsia="en-US"/>
              </w:rPr>
            </w:pPr>
          </w:p>
          <w:p w:rsidR="00590B62" w:rsidRPr="00590B62" w:rsidRDefault="00590B62" w:rsidP="00590B62">
            <w:pPr>
              <w:jc w:val="center"/>
              <w:rPr>
                <w:rFonts w:ascii="Muller Light" w:eastAsia="Calibri" w:hAnsi="Muller Light"/>
                <w:b/>
                <w:color w:val="333399"/>
                <w:sz w:val="20"/>
                <w:szCs w:val="28"/>
                <w:lang w:eastAsia="en-US"/>
              </w:rPr>
            </w:pPr>
            <w:r w:rsidRPr="00590B62">
              <w:rPr>
                <w:rFonts w:ascii="Muller Light" w:eastAsia="Calibri" w:hAnsi="Muller Light"/>
                <w:b/>
                <w:color w:val="333399"/>
                <w:sz w:val="20"/>
                <w:szCs w:val="28"/>
                <w:lang w:eastAsia="en-US"/>
              </w:rPr>
              <w:t>1,30€</w:t>
            </w:r>
          </w:p>
        </w:tc>
      </w:tr>
      <w:tr w:rsidR="00590B62" w:rsidRPr="00590B62" w:rsidTr="00B20EBE">
        <w:tc>
          <w:tcPr>
            <w:tcW w:w="10064" w:type="dxa"/>
            <w:shd w:val="clear" w:color="auto" w:fill="auto"/>
          </w:tcPr>
          <w:p w:rsidR="00590B62" w:rsidRPr="00590B62" w:rsidRDefault="00590B62" w:rsidP="00B20EBE">
            <w:pPr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</w:pPr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>Hôtels de tourisme 4 étoiles, résidences de tourisme 4 étoiles, meublés de tourisme 4 étoiles et  tous les autres établissements présentant des caractéristiques de classement touristique équivalentes</w:t>
            </w:r>
          </w:p>
        </w:tc>
        <w:tc>
          <w:tcPr>
            <w:tcW w:w="992" w:type="dxa"/>
            <w:shd w:val="clear" w:color="auto" w:fill="auto"/>
          </w:tcPr>
          <w:p w:rsidR="00590B62" w:rsidRPr="00590B62" w:rsidRDefault="00590B62" w:rsidP="00590B62">
            <w:pPr>
              <w:jc w:val="center"/>
              <w:rPr>
                <w:rFonts w:ascii="Muller Light" w:eastAsia="Calibri" w:hAnsi="Muller Light"/>
                <w:b/>
                <w:color w:val="333399"/>
                <w:sz w:val="10"/>
                <w:szCs w:val="28"/>
                <w:lang w:eastAsia="en-US"/>
              </w:rPr>
            </w:pPr>
          </w:p>
          <w:p w:rsidR="00590B62" w:rsidRPr="00590B62" w:rsidRDefault="00590B62" w:rsidP="00590B62">
            <w:pPr>
              <w:jc w:val="center"/>
              <w:rPr>
                <w:rFonts w:ascii="Muller Light" w:eastAsia="Calibri" w:hAnsi="Muller Light"/>
                <w:b/>
                <w:color w:val="333399"/>
                <w:sz w:val="20"/>
                <w:szCs w:val="28"/>
                <w:lang w:eastAsia="en-US"/>
              </w:rPr>
            </w:pPr>
            <w:r w:rsidRPr="00590B62">
              <w:rPr>
                <w:rFonts w:ascii="Muller Light" w:eastAsia="Calibri" w:hAnsi="Muller Light"/>
                <w:b/>
                <w:color w:val="333399"/>
                <w:sz w:val="20"/>
                <w:szCs w:val="28"/>
                <w:lang w:eastAsia="en-US"/>
              </w:rPr>
              <w:t>1,10 €</w:t>
            </w:r>
          </w:p>
        </w:tc>
      </w:tr>
      <w:tr w:rsidR="00590B62" w:rsidRPr="00590B62" w:rsidTr="00B20EBE">
        <w:trPr>
          <w:trHeight w:val="820"/>
        </w:trPr>
        <w:tc>
          <w:tcPr>
            <w:tcW w:w="10064" w:type="dxa"/>
            <w:shd w:val="clear" w:color="auto" w:fill="auto"/>
          </w:tcPr>
          <w:p w:rsidR="00590B62" w:rsidRPr="00590B62" w:rsidRDefault="00590B62" w:rsidP="00B20EBE">
            <w:pPr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</w:pPr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>Hôtels de tourisme 3 étoiles, résidences de tourisme 3 étoiles, meublés de tourisme 3 étoiles et   tous les autres établissements présentant des caractéristiques de classement touristique équivalentes</w:t>
            </w:r>
          </w:p>
        </w:tc>
        <w:tc>
          <w:tcPr>
            <w:tcW w:w="992" w:type="dxa"/>
            <w:shd w:val="clear" w:color="auto" w:fill="auto"/>
          </w:tcPr>
          <w:p w:rsidR="00590B62" w:rsidRPr="00590B62" w:rsidRDefault="00590B62" w:rsidP="00590B62">
            <w:pPr>
              <w:jc w:val="center"/>
              <w:rPr>
                <w:rFonts w:ascii="Muller Light" w:eastAsia="Calibri" w:hAnsi="Muller Light"/>
                <w:b/>
                <w:color w:val="333399"/>
                <w:sz w:val="10"/>
                <w:szCs w:val="28"/>
                <w:lang w:eastAsia="en-US"/>
              </w:rPr>
            </w:pPr>
          </w:p>
          <w:p w:rsidR="00590B62" w:rsidRPr="00590B62" w:rsidRDefault="00590B62" w:rsidP="00590B62">
            <w:pPr>
              <w:jc w:val="center"/>
              <w:rPr>
                <w:rFonts w:ascii="Muller Light" w:eastAsia="Calibri" w:hAnsi="Muller Light"/>
                <w:b/>
                <w:color w:val="333399"/>
                <w:sz w:val="20"/>
                <w:szCs w:val="28"/>
                <w:lang w:eastAsia="en-US"/>
              </w:rPr>
            </w:pPr>
            <w:r w:rsidRPr="00590B62">
              <w:rPr>
                <w:rFonts w:ascii="Muller Light" w:eastAsia="Calibri" w:hAnsi="Muller Light"/>
                <w:b/>
                <w:color w:val="333399"/>
                <w:sz w:val="20"/>
                <w:szCs w:val="28"/>
                <w:lang w:eastAsia="en-US"/>
              </w:rPr>
              <w:t>0,90 €</w:t>
            </w:r>
          </w:p>
        </w:tc>
      </w:tr>
      <w:tr w:rsidR="00590B62" w:rsidRPr="00590B62" w:rsidTr="00B20EBE">
        <w:trPr>
          <w:trHeight w:val="987"/>
        </w:trPr>
        <w:tc>
          <w:tcPr>
            <w:tcW w:w="10064" w:type="dxa"/>
            <w:shd w:val="clear" w:color="auto" w:fill="auto"/>
          </w:tcPr>
          <w:p w:rsidR="00590B62" w:rsidRPr="00590B62" w:rsidRDefault="00590B62" w:rsidP="00B20EBE">
            <w:pPr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</w:pPr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>Hôtels de tourisme 2 étoiles, résidences de tourisme 2 étoiles, meublés de tourisme 2 étoiles, villages de vacances 4 et 5 étoiles et  tous les autres établissements présentant des caractéristiques de classement touristique équivalentes</w:t>
            </w:r>
          </w:p>
        </w:tc>
        <w:tc>
          <w:tcPr>
            <w:tcW w:w="992" w:type="dxa"/>
            <w:shd w:val="clear" w:color="auto" w:fill="auto"/>
          </w:tcPr>
          <w:p w:rsidR="00590B62" w:rsidRPr="00590B62" w:rsidRDefault="00590B62" w:rsidP="00590B62">
            <w:pPr>
              <w:jc w:val="center"/>
              <w:rPr>
                <w:rFonts w:ascii="Muller Light" w:eastAsia="Calibri" w:hAnsi="Muller Light"/>
                <w:b/>
                <w:color w:val="333399"/>
                <w:sz w:val="10"/>
                <w:szCs w:val="28"/>
                <w:lang w:eastAsia="en-US"/>
              </w:rPr>
            </w:pPr>
          </w:p>
          <w:p w:rsidR="00590B62" w:rsidRPr="00590B62" w:rsidRDefault="00590B62" w:rsidP="00590B62">
            <w:pPr>
              <w:jc w:val="center"/>
              <w:rPr>
                <w:rFonts w:ascii="Muller Light" w:eastAsia="Calibri" w:hAnsi="Muller Light"/>
                <w:b/>
                <w:color w:val="333399"/>
                <w:sz w:val="20"/>
                <w:szCs w:val="28"/>
                <w:lang w:eastAsia="en-US"/>
              </w:rPr>
            </w:pPr>
            <w:r w:rsidRPr="00590B62">
              <w:rPr>
                <w:rFonts w:ascii="Muller Light" w:eastAsia="Calibri" w:hAnsi="Muller Light"/>
                <w:b/>
                <w:color w:val="333399"/>
                <w:sz w:val="20"/>
                <w:szCs w:val="28"/>
                <w:lang w:eastAsia="en-US"/>
              </w:rPr>
              <w:t>0,70 €</w:t>
            </w:r>
          </w:p>
        </w:tc>
      </w:tr>
      <w:tr w:rsidR="00590B62" w:rsidRPr="00590B62" w:rsidTr="00B20EBE">
        <w:tc>
          <w:tcPr>
            <w:tcW w:w="10064" w:type="dxa"/>
            <w:shd w:val="clear" w:color="auto" w:fill="auto"/>
          </w:tcPr>
          <w:p w:rsidR="00590B62" w:rsidRPr="00590B62" w:rsidRDefault="00590B62" w:rsidP="00B20EBE">
            <w:pPr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</w:pPr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>Hôtels de tourisme 1 étoile, résidences de tourisme 1 étoile, meublés de tourisme 1 étoile,  villages de vacances 1, 2 et 3 étoiles, chambres d’hôtes, emplacements dans des aires de camping-cars et des parcs de stationnement touristiques par tranche de 24 heures et  tous les autres établissements présentant des caractéristiques de classement touristique équivalentes</w:t>
            </w:r>
          </w:p>
        </w:tc>
        <w:tc>
          <w:tcPr>
            <w:tcW w:w="992" w:type="dxa"/>
            <w:shd w:val="clear" w:color="auto" w:fill="auto"/>
          </w:tcPr>
          <w:p w:rsidR="00590B62" w:rsidRPr="00590B62" w:rsidRDefault="00590B62" w:rsidP="00590B62">
            <w:pPr>
              <w:jc w:val="center"/>
              <w:rPr>
                <w:rFonts w:ascii="Muller Light" w:eastAsia="Calibri" w:hAnsi="Muller Light"/>
                <w:b/>
                <w:color w:val="333399"/>
                <w:sz w:val="10"/>
                <w:szCs w:val="28"/>
                <w:lang w:eastAsia="en-US"/>
              </w:rPr>
            </w:pPr>
          </w:p>
          <w:p w:rsidR="00590B62" w:rsidRPr="00590B62" w:rsidRDefault="00590B62" w:rsidP="00590B62">
            <w:pPr>
              <w:jc w:val="center"/>
              <w:rPr>
                <w:rFonts w:ascii="Muller Light" w:eastAsia="Calibri" w:hAnsi="Muller Light"/>
                <w:b/>
                <w:color w:val="333399"/>
                <w:sz w:val="20"/>
                <w:szCs w:val="28"/>
                <w:lang w:eastAsia="en-US"/>
              </w:rPr>
            </w:pPr>
            <w:r w:rsidRPr="00590B62">
              <w:rPr>
                <w:rFonts w:ascii="Muller Light" w:eastAsia="Calibri" w:hAnsi="Muller Light"/>
                <w:b/>
                <w:color w:val="333399"/>
                <w:sz w:val="20"/>
                <w:szCs w:val="28"/>
                <w:lang w:eastAsia="en-US"/>
              </w:rPr>
              <w:t>0,60 €</w:t>
            </w:r>
          </w:p>
        </w:tc>
      </w:tr>
      <w:tr w:rsidR="00590B62" w:rsidRPr="00590B62" w:rsidTr="00B20EBE">
        <w:tc>
          <w:tcPr>
            <w:tcW w:w="10064" w:type="dxa"/>
            <w:shd w:val="clear" w:color="auto" w:fill="auto"/>
          </w:tcPr>
          <w:p w:rsidR="00590B62" w:rsidRPr="00590B62" w:rsidRDefault="00590B62" w:rsidP="00B20EBE">
            <w:pPr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</w:pPr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>Hôtels et résidences de tourisme, villages de vacances en attente de classement ou sans classement</w:t>
            </w:r>
          </w:p>
        </w:tc>
        <w:tc>
          <w:tcPr>
            <w:tcW w:w="992" w:type="dxa"/>
            <w:shd w:val="clear" w:color="auto" w:fill="auto"/>
          </w:tcPr>
          <w:p w:rsidR="00590B62" w:rsidRPr="00590B62" w:rsidRDefault="00590B62" w:rsidP="00590B62">
            <w:pPr>
              <w:jc w:val="center"/>
              <w:rPr>
                <w:rFonts w:ascii="Muller Light" w:eastAsia="Calibri" w:hAnsi="Muller Light"/>
                <w:b/>
                <w:color w:val="333399"/>
                <w:sz w:val="10"/>
                <w:szCs w:val="28"/>
                <w:lang w:eastAsia="en-US"/>
              </w:rPr>
            </w:pPr>
          </w:p>
          <w:p w:rsidR="00590B62" w:rsidRPr="00590B62" w:rsidRDefault="00590B62" w:rsidP="00590B62">
            <w:pPr>
              <w:jc w:val="center"/>
              <w:rPr>
                <w:rFonts w:ascii="Muller Light" w:eastAsia="Calibri" w:hAnsi="Muller Light"/>
                <w:b/>
                <w:color w:val="333399"/>
                <w:sz w:val="20"/>
                <w:szCs w:val="28"/>
                <w:lang w:eastAsia="en-US"/>
              </w:rPr>
            </w:pPr>
            <w:r w:rsidRPr="00590B62">
              <w:rPr>
                <w:rFonts w:ascii="Muller Light" w:eastAsia="Calibri" w:hAnsi="Muller Light"/>
                <w:b/>
                <w:color w:val="333399"/>
                <w:sz w:val="20"/>
                <w:szCs w:val="28"/>
                <w:lang w:eastAsia="en-US"/>
              </w:rPr>
              <w:t>0,50 €</w:t>
            </w:r>
          </w:p>
        </w:tc>
      </w:tr>
      <w:tr w:rsidR="00590B62" w:rsidRPr="00590B62" w:rsidTr="00B20EBE">
        <w:trPr>
          <w:trHeight w:val="595"/>
        </w:trPr>
        <w:tc>
          <w:tcPr>
            <w:tcW w:w="10064" w:type="dxa"/>
            <w:shd w:val="clear" w:color="auto" w:fill="auto"/>
          </w:tcPr>
          <w:p w:rsidR="00590B62" w:rsidRPr="00590B62" w:rsidRDefault="00590B62" w:rsidP="00B20EBE">
            <w:pPr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</w:pPr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 xml:space="preserve">Meublés de tourisme et hébergements assimilés en attente de classement ou sans classement </w:t>
            </w:r>
          </w:p>
        </w:tc>
        <w:tc>
          <w:tcPr>
            <w:tcW w:w="992" w:type="dxa"/>
            <w:shd w:val="clear" w:color="auto" w:fill="auto"/>
          </w:tcPr>
          <w:p w:rsidR="00590B62" w:rsidRPr="00590B62" w:rsidRDefault="00590B62" w:rsidP="00590B62">
            <w:pPr>
              <w:jc w:val="center"/>
              <w:rPr>
                <w:rFonts w:ascii="Muller Light" w:eastAsia="Calibri" w:hAnsi="Muller Light"/>
                <w:b/>
                <w:color w:val="333399"/>
                <w:sz w:val="10"/>
                <w:szCs w:val="28"/>
                <w:lang w:eastAsia="en-US"/>
              </w:rPr>
            </w:pPr>
          </w:p>
          <w:p w:rsidR="00590B62" w:rsidRPr="00590B62" w:rsidRDefault="00590B62" w:rsidP="00590B62">
            <w:pPr>
              <w:jc w:val="center"/>
              <w:rPr>
                <w:rFonts w:ascii="Muller Light" w:eastAsia="Calibri" w:hAnsi="Muller Light"/>
                <w:b/>
                <w:color w:val="333399"/>
                <w:sz w:val="20"/>
                <w:szCs w:val="28"/>
                <w:lang w:eastAsia="en-US"/>
              </w:rPr>
            </w:pPr>
            <w:r w:rsidRPr="00590B62">
              <w:rPr>
                <w:rFonts w:ascii="Muller Light" w:eastAsia="Calibri" w:hAnsi="Muller Light"/>
                <w:b/>
                <w:color w:val="333399"/>
                <w:sz w:val="20"/>
                <w:szCs w:val="28"/>
                <w:lang w:eastAsia="en-US"/>
              </w:rPr>
              <w:t>0,50 €</w:t>
            </w:r>
          </w:p>
        </w:tc>
      </w:tr>
      <w:tr w:rsidR="00590B62" w:rsidRPr="00590B62" w:rsidTr="00B20EBE">
        <w:tc>
          <w:tcPr>
            <w:tcW w:w="10064" w:type="dxa"/>
            <w:shd w:val="clear" w:color="auto" w:fill="auto"/>
          </w:tcPr>
          <w:p w:rsidR="00590B62" w:rsidRPr="00590B62" w:rsidRDefault="00590B62" w:rsidP="00B20EBE">
            <w:pPr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</w:pPr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>Terrains de campings et terrains de caravanage classés en 3, 4 et 5 étoiles et tout autre terrain d’hébergement de plein air de caractéristiques équivalentes</w:t>
            </w:r>
          </w:p>
        </w:tc>
        <w:tc>
          <w:tcPr>
            <w:tcW w:w="992" w:type="dxa"/>
            <w:shd w:val="clear" w:color="auto" w:fill="auto"/>
          </w:tcPr>
          <w:p w:rsidR="00590B62" w:rsidRPr="00590B62" w:rsidRDefault="00590B62" w:rsidP="00590B62">
            <w:pPr>
              <w:jc w:val="center"/>
              <w:rPr>
                <w:rFonts w:ascii="Muller Light" w:eastAsia="Calibri" w:hAnsi="Muller Light"/>
                <w:b/>
                <w:color w:val="333399"/>
                <w:sz w:val="10"/>
                <w:szCs w:val="28"/>
                <w:lang w:eastAsia="en-US"/>
              </w:rPr>
            </w:pPr>
          </w:p>
          <w:p w:rsidR="00590B62" w:rsidRPr="00590B62" w:rsidRDefault="00590B62" w:rsidP="00590B62">
            <w:pPr>
              <w:jc w:val="center"/>
              <w:rPr>
                <w:rFonts w:ascii="Muller Light" w:eastAsia="Calibri" w:hAnsi="Muller Light"/>
                <w:b/>
                <w:color w:val="333399"/>
                <w:sz w:val="20"/>
                <w:szCs w:val="28"/>
                <w:lang w:eastAsia="en-US"/>
              </w:rPr>
            </w:pPr>
            <w:r w:rsidRPr="00590B62">
              <w:rPr>
                <w:rFonts w:ascii="Muller Light" w:eastAsia="Calibri" w:hAnsi="Muller Light"/>
                <w:b/>
                <w:color w:val="333399"/>
                <w:sz w:val="20"/>
                <w:szCs w:val="28"/>
                <w:lang w:eastAsia="en-US"/>
              </w:rPr>
              <w:t>0,50 €</w:t>
            </w:r>
          </w:p>
        </w:tc>
      </w:tr>
      <w:tr w:rsidR="00590B62" w:rsidRPr="00590B62" w:rsidTr="00B20EBE">
        <w:trPr>
          <w:trHeight w:val="744"/>
        </w:trPr>
        <w:tc>
          <w:tcPr>
            <w:tcW w:w="10064" w:type="dxa"/>
            <w:shd w:val="clear" w:color="auto" w:fill="auto"/>
          </w:tcPr>
          <w:p w:rsidR="00590B62" w:rsidRPr="00590B62" w:rsidRDefault="00590B62" w:rsidP="00B20EBE">
            <w:pPr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</w:pPr>
            <w:r w:rsidRPr="00590B62">
              <w:rPr>
                <w:rFonts w:ascii="Muller Light" w:eastAsia="Calibri" w:hAnsi="Muller Light"/>
                <w:b/>
                <w:color w:val="333399"/>
                <w:sz w:val="22"/>
                <w:szCs w:val="28"/>
                <w:lang w:eastAsia="en-US"/>
              </w:rPr>
              <w:t xml:space="preserve">Terrains de campings et terrains de caravanage classés en 1 et 2 étoiles et  tout autre terrain d’hébergement de plein air de caractéristiques équivalentes, ports de plaisance </w:t>
            </w:r>
          </w:p>
        </w:tc>
        <w:tc>
          <w:tcPr>
            <w:tcW w:w="992" w:type="dxa"/>
            <w:shd w:val="clear" w:color="auto" w:fill="auto"/>
          </w:tcPr>
          <w:p w:rsidR="00590B62" w:rsidRPr="00590B62" w:rsidRDefault="00590B62" w:rsidP="00590B62">
            <w:pPr>
              <w:jc w:val="center"/>
              <w:rPr>
                <w:rFonts w:ascii="Muller Light" w:eastAsia="Calibri" w:hAnsi="Muller Light"/>
                <w:b/>
                <w:color w:val="333399"/>
                <w:sz w:val="10"/>
                <w:szCs w:val="28"/>
                <w:lang w:eastAsia="en-US"/>
              </w:rPr>
            </w:pPr>
          </w:p>
          <w:p w:rsidR="00590B62" w:rsidRPr="00590B62" w:rsidRDefault="00590B62" w:rsidP="00590B62">
            <w:pPr>
              <w:jc w:val="center"/>
              <w:rPr>
                <w:rFonts w:ascii="Muller Light" w:eastAsia="Calibri" w:hAnsi="Muller Light"/>
                <w:b/>
                <w:color w:val="333399"/>
                <w:sz w:val="20"/>
                <w:szCs w:val="28"/>
                <w:lang w:eastAsia="en-US"/>
              </w:rPr>
            </w:pPr>
            <w:r w:rsidRPr="00590B62">
              <w:rPr>
                <w:rFonts w:ascii="Muller Light" w:eastAsia="Calibri" w:hAnsi="Muller Light"/>
                <w:b/>
                <w:color w:val="333399"/>
                <w:sz w:val="20"/>
                <w:szCs w:val="28"/>
                <w:lang w:eastAsia="en-US"/>
              </w:rPr>
              <w:t>0,20 €</w:t>
            </w:r>
          </w:p>
        </w:tc>
      </w:tr>
    </w:tbl>
    <w:p w:rsidR="00404F3E" w:rsidRPr="00590B62" w:rsidRDefault="00404F3E" w:rsidP="00684249">
      <w:pPr>
        <w:pStyle w:val="NormalWeb"/>
        <w:shd w:val="clear" w:color="auto" w:fill="FFFFFF"/>
        <w:spacing w:before="0" w:beforeAutospacing="0" w:after="120" w:afterAutospacing="0"/>
        <w:rPr>
          <w:rFonts w:ascii="Muller Medium" w:hAnsi="Muller Medium"/>
          <w:b/>
          <w:color w:val="000000"/>
          <w:sz w:val="2"/>
          <w:szCs w:val="21"/>
          <w:u w:val="single"/>
        </w:rPr>
      </w:pPr>
    </w:p>
    <w:p w:rsidR="00404F3E" w:rsidRDefault="00404F3E" w:rsidP="00684249">
      <w:pPr>
        <w:pStyle w:val="NormalWeb"/>
        <w:shd w:val="clear" w:color="auto" w:fill="FFFFFF"/>
        <w:spacing w:before="0" w:beforeAutospacing="0" w:after="120" w:afterAutospacing="0"/>
        <w:rPr>
          <w:rFonts w:ascii="Muller Medium" w:hAnsi="Muller Medium"/>
          <w:b/>
          <w:color w:val="000000"/>
          <w:sz w:val="24"/>
          <w:szCs w:val="21"/>
          <w:u w:val="single"/>
        </w:rPr>
      </w:pPr>
    </w:p>
    <w:p w:rsidR="00590B62" w:rsidRPr="00590B62" w:rsidRDefault="00590B62" w:rsidP="00590B62">
      <w:pPr>
        <w:spacing w:line="360" w:lineRule="auto"/>
        <w:ind w:left="360"/>
        <w:rPr>
          <w:rFonts w:ascii="Muller Regular" w:hAnsi="Muller Regular"/>
          <w:b/>
          <w:bCs/>
          <w:iCs/>
          <w:color w:val="333399"/>
          <w:sz w:val="22"/>
          <w:szCs w:val="22"/>
        </w:rPr>
      </w:pPr>
      <w:r w:rsidRPr="00590B62">
        <w:rPr>
          <w:rFonts w:ascii="Muller Regular" w:hAnsi="Muller Regular"/>
          <w:b/>
          <w:bCs/>
          <w:iCs/>
          <w:color w:val="333399"/>
          <w:sz w:val="22"/>
          <w:szCs w:val="22"/>
        </w:rPr>
        <w:t>Mode de calcul de la taxe de séjour au réel</w:t>
      </w:r>
      <w:r w:rsidRPr="00590B62">
        <w:rPr>
          <w:rFonts w:ascii="Calibri" w:hAnsi="Calibri" w:cs="Calibri"/>
          <w:b/>
          <w:bCs/>
          <w:iCs/>
          <w:color w:val="333399"/>
          <w:sz w:val="22"/>
          <w:szCs w:val="22"/>
        </w:rPr>
        <w:t> </w:t>
      </w:r>
      <w:r w:rsidRPr="00590B62">
        <w:rPr>
          <w:rFonts w:ascii="Muller Regular" w:hAnsi="Muller Regular"/>
          <w:b/>
          <w:bCs/>
          <w:iCs/>
          <w:color w:val="333399"/>
          <w:sz w:val="22"/>
          <w:szCs w:val="22"/>
        </w:rPr>
        <w:t>:</w:t>
      </w:r>
    </w:p>
    <w:p w:rsidR="00590B62" w:rsidRPr="00590B62" w:rsidRDefault="00590B62" w:rsidP="00590B62">
      <w:pPr>
        <w:spacing w:before="60" w:after="60"/>
        <w:ind w:left="357"/>
        <w:jc w:val="both"/>
        <w:rPr>
          <w:rFonts w:ascii="Muller Regular" w:hAnsi="Muller Regular"/>
          <w:iCs/>
          <w:sz w:val="22"/>
          <w:szCs w:val="22"/>
        </w:rPr>
      </w:pPr>
      <w:r w:rsidRPr="00590B62">
        <w:rPr>
          <w:rFonts w:ascii="Muller Regular" w:hAnsi="Muller Regular"/>
          <w:iCs/>
          <w:sz w:val="22"/>
          <w:szCs w:val="22"/>
          <w:u w:val="single"/>
        </w:rPr>
        <w:t>Montant de la taxe due par chaque redevable</w:t>
      </w:r>
      <w:r w:rsidRPr="00590B62">
        <w:rPr>
          <w:rFonts w:ascii="Calibri" w:hAnsi="Calibri" w:cs="Calibri"/>
          <w:iCs/>
          <w:sz w:val="22"/>
          <w:szCs w:val="22"/>
        </w:rPr>
        <w:t> </w:t>
      </w:r>
      <w:r w:rsidRPr="00590B62">
        <w:rPr>
          <w:rFonts w:ascii="Muller Regular" w:hAnsi="Muller Regular"/>
          <w:iCs/>
          <w:sz w:val="22"/>
          <w:szCs w:val="22"/>
        </w:rPr>
        <w:t>:</w:t>
      </w:r>
    </w:p>
    <w:p w:rsidR="00590B62" w:rsidRPr="00590B62" w:rsidRDefault="00590B62" w:rsidP="00590B62">
      <w:pPr>
        <w:spacing w:before="60" w:after="60"/>
        <w:ind w:left="357"/>
        <w:jc w:val="both"/>
        <w:rPr>
          <w:rFonts w:ascii="Muller Regular" w:hAnsi="Muller Regular"/>
          <w:iCs/>
          <w:sz w:val="22"/>
          <w:szCs w:val="22"/>
        </w:rPr>
      </w:pPr>
      <w:r w:rsidRPr="00590B62">
        <w:rPr>
          <w:rFonts w:ascii="Muller Regular" w:hAnsi="Muller Regular"/>
          <w:iCs/>
          <w:sz w:val="22"/>
          <w:szCs w:val="22"/>
        </w:rPr>
        <w:t>Tarif normalement applicable à la catégorie d’hébergement concernée (x) par le nombre de nuitées du séjour.</w:t>
      </w:r>
    </w:p>
    <w:p w:rsidR="00590B62" w:rsidRPr="00590B62" w:rsidRDefault="00590B62" w:rsidP="00590B62">
      <w:pPr>
        <w:spacing w:before="60" w:after="60"/>
        <w:ind w:left="357"/>
        <w:jc w:val="both"/>
        <w:rPr>
          <w:rFonts w:ascii="Muller Regular" w:hAnsi="Muller Regular"/>
          <w:iCs/>
          <w:sz w:val="22"/>
          <w:szCs w:val="22"/>
        </w:rPr>
      </w:pPr>
    </w:p>
    <w:p w:rsidR="00590B62" w:rsidRPr="00590B62" w:rsidRDefault="00590B62" w:rsidP="00590B62">
      <w:pPr>
        <w:spacing w:line="360" w:lineRule="auto"/>
        <w:ind w:left="360"/>
        <w:rPr>
          <w:rFonts w:ascii="Muller Regular" w:hAnsi="Muller Regular"/>
          <w:b/>
          <w:bCs/>
          <w:iCs/>
          <w:color w:val="333399"/>
          <w:sz w:val="22"/>
          <w:szCs w:val="22"/>
          <w:u w:val="single"/>
        </w:rPr>
      </w:pPr>
      <w:r w:rsidRPr="00590B62">
        <w:rPr>
          <w:rFonts w:ascii="Muller Regular" w:hAnsi="Muller Regular"/>
          <w:b/>
          <w:bCs/>
          <w:iCs/>
          <w:color w:val="333399"/>
          <w:sz w:val="22"/>
          <w:szCs w:val="22"/>
          <w:u w:val="single"/>
        </w:rPr>
        <w:t xml:space="preserve">Exonérations </w:t>
      </w:r>
    </w:p>
    <w:p w:rsidR="00590B62" w:rsidRPr="00590B62" w:rsidRDefault="00590B62" w:rsidP="00590B62">
      <w:pPr>
        <w:numPr>
          <w:ilvl w:val="1"/>
          <w:numId w:val="2"/>
        </w:numPr>
        <w:tabs>
          <w:tab w:val="clear" w:pos="1800"/>
          <w:tab w:val="num" w:pos="851"/>
        </w:tabs>
        <w:spacing w:before="60" w:after="60"/>
        <w:ind w:hanging="1374"/>
        <w:jc w:val="both"/>
        <w:rPr>
          <w:rFonts w:ascii="Muller Regular" w:hAnsi="Muller Regular"/>
          <w:iCs/>
          <w:sz w:val="22"/>
          <w:szCs w:val="22"/>
        </w:rPr>
      </w:pPr>
      <w:r w:rsidRPr="00590B62">
        <w:rPr>
          <w:rFonts w:ascii="Muller Regular" w:hAnsi="Muller Regular"/>
          <w:iCs/>
          <w:sz w:val="22"/>
          <w:szCs w:val="22"/>
        </w:rPr>
        <w:t xml:space="preserve">  Les personnes mineures (-18 ans)</w:t>
      </w:r>
    </w:p>
    <w:p w:rsidR="00590B62" w:rsidRPr="00590B62" w:rsidRDefault="00590B62" w:rsidP="00590B62">
      <w:pPr>
        <w:numPr>
          <w:ilvl w:val="0"/>
          <w:numId w:val="3"/>
        </w:numPr>
        <w:spacing w:before="60" w:after="60"/>
        <w:ind w:hanging="654"/>
        <w:rPr>
          <w:rFonts w:ascii="Muller Regular" w:hAnsi="Muller Regular"/>
          <w:iCs/>
          <w:sz w:val="22"/>
          <w:szCs w:val="22"/>
        </w:rPr>
      </w:pPr>
      <w:r w:rsidRPr="00590B62">
        <w:rPr>
          <w:rFonts w:ascii="Muller Regular" w:hAnsi="Muller Regular"/>
          <w:iCs/>
          <w:sz w:val="22"/>
          <w:szCs w:val="22"/>
        </w:rPr>
        <w:t xml:space="preserve">Les titulaires d'un contrat de travail saisonnier employés dans une commune du territoire </w:t>
      </w:r>
    </w:p>
    <w:p w:rsidR="00D76733" w:rsidRPr="00590B62" w:rsidRDefault="00590B62" w:rsidP="00590B62">
      <w:pPr>
        <w:numPr>
          <w:ilvl w:val="0"/>
          <w:numId w:val="3"/>
        </w:numPr>
        <w:spacing w:before="60" w:after="60"/>
        <w:ind w:hanging="654"/>
        <w:jc w:val="both"/>
        <w:rPr>
          <w:rFonts w:ascii="Bookman Old Style" w:hAnsi="Bookman Old Style"/>
          <w:iCs/>
        </w:rPr>
      </w:pPr>
      <w:r w:rsidRPr="00590B62">
        <w:rPr>
          <w:rFonts w:ascii="Bookman Old Style" w:hAnsi="Bookman Old Style"/>
          <w:iCs/>
          <w:sz w:val="22"/>
          <w:szCs w:val="22"/>
        </w:rPr>
        <w:t>Les personnes bénéficiant d'un hébergement d'urgence ou d'un relogement temporaire</w:t>
      </w:r>
      <w:r w:rsidR="009F6BAC">
        <w:rPr>
          <w:rFonts w:ascii="Roboto Black" w:hAnsi="Roboto Black"/>
          <w:noProof/>
          <w:color w:val="000000"/>
          <w:sz w:val="21"/>
          <w:szCs w:val="21"/>
          <w:lang w:val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posOffset>-899160</wp:posOffset>
                </wp:positionH>
                <wp:positionV relativeFrom="margin">
                  <wp:posOffset>7812405</wp:posOffset>
                </wp:positionV>
                <wp:extent cx="2349500" cy="2004695"/>
                <wp:effectExtent l="635" t="6350" r="2540" b="8255"/>
                <wp:wrapTight wrapText="bothSides">
                  <wp:wrapPolygon edited="0">
                    <wp:start x="-88" y="0"/>
                    <wp:lineTo x="-88" y="21497"/>
                    <wp:lineTo x="21600" y="21497"/>
                    <wp:lineTo x="175" y="0"/>
                    <wp:lineTo x="-88" y="0"/>
                  </wp:wrapPolygon>
                </wp:wrapTight>
                <wp:docPr id="1" name="Triangle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0" cy="2004695"/>
                        </a:xfrm>
                        <a:prstGeom prst="rtTriangle">
                          <a:avLst/>
                        </a:prstGeom>
                        <a:solidFill>
                          <a:srgbClr val="47AA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60FF9" id="Triangle rectangle 6" o:spid="_x0000_s1026" type="#_x0000_t6" style="position:absolute;margin-left:-70.8pt;margin-top:615.15pt;width:185pt;height:157.8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" fillcolor="#47aaae" stroked="f">
                <w10:wrap type="tight" anchorx="margin" anchory="margin"/>
              </v:shape>
            </w:pict>
          </mc:Fallback>
        </mc:AlternateContent>
      </w:r>
    </w:p>
    <w:sectPr w:rsidR="00D76733" w:rsidRPr="00590B62" w:rsidSect="001E7B8D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029" w:rsidRDefault="00FF6029" w:rsidP="00D76733">
      <w:r>
        <w:separator/>
      </w:r>
    </w:p>
  </w:endnote>
  <w:endnote w:type="continuationSeparator" w:id="0">
    <w:p w:rsidR="00FF6029" w:rsidRDefault="00FF6029" w:rsidP="00D7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Blac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Muller Black"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Muller Regular"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Muller Medium"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Muller Light"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ulle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6A4" w:rsidRPr="00DD4933" w:rsidRDefault="003546A4" w:rsidP="003546A4">
    <w:pPr>
      <w:pStyle w:val="Pieddepage"/>
      <w:jc w:val="center"/>
      <w:rPr>
        <w:rFonts w:ascii="Muller" w:hAnsi="Muller" w:hint="eastAsia"/>
        <w:sz w:val="14"/>
      </w:rPr>
    </w:pPr>
    <w:r w:rsidRPr="00DD4933">
      <w:rPr>
        <w:rFonts w:ascii="Muller" w:hAnsi="Muller"/>
        <w:b/>
        <w:sz w:val="14"/>
      </w:rPr>
      <w:t>34, rue Bertrand Robidou - BP 56357 - 22106 Dinan Cdx</w:t>
    </w:r>
    <w:r w:rsidRPr="00DD4933">
      <w:rPr>
        <w:rFonts w:ascii="Muller" w:hAnsi="Muller"/>
        <w:sz w:val="14"/>
      </w:rPr>
      <w:t xml:space="preserve"> - 02 96 87 14 14 </w:t>
    </w:r>
  </w:p>
  <w:p w:rsidR="003546A4" w:rsidRPr="00DD4933" w:rsidRDefault="003546A4" w:rsidP="003546A4">
    <w:pPr>
      <w:pStyle w:val="Pieddepage"/>
      <w:jc w:val="center"/>
      <w:rPr>
        <w:rFonts w:ascii="Muller" w:hAnsi="Muller" w:hint="eastAsia"/>
        <w:b/>
        <w:sz w:val="14"/>
      </w:rPr>
    </w:pPr>
    <w:r w:rsidRPr="00DD4933">
      <w:rPr>
        <w:rFonts w:ascii="Muller" w:hAnsi="Muller"/>
        <w:sz w:val="14"/>
        <w:u w:val="single"/>
      </w:rPr>
      <w:t>contact@dinan-agglomeration.fr</w:t>
    </w:r>
    <w:r w:rsidRPr="00DD4933">
      <w:rPr>
        <w:rFonts w:ascii="Muller" w:hAnsi="Muller"/>
        <w:sz w:val="14"/>
      </w:rPr>
      <w:t xml:space="preserve"> - </w:t>
    </w:r>
    <w:r w:rsidR="00DC7906">
      <w:rPr>
        <w:rFonts w:ascii="Muller" w:hAnsi="Muller"/>
        <w:b/>
        <w:sz w:val="14"/>
      </w:rPr>
      <w:t>www.dinan-agglomeration.fr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029" w:rsidRDefault="00FF6029" w:rsidP="00D76733">
      <w:r>
        <w:separator/>
      </w:r>
    </w:p>
  </w:footnote>
  <w:footnote w:type="continuationSeparator" w:id="0">
    <w:p w:rsidR="00FF6029" w:rsidRDefault="00FF6029" w:rsidP="00D76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733" w:rsidRDefault="009B704F">
    <w:pPr>
      <w:pStyle w:val="En-tte"/>
    </w:pPr>
    <w:r>
      <w:rPr>
        <w:noProof/>
        <w:lang w:val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-63500</wp:posOffset>
          </wp:positionH>
          <wp:positionV relativeFrom="paragraph">
            <wp:posOffset>-70485</wp:posOffset>
          </wp:positionV>
          <wp:extent cx="1163955" cy="567690"/>
          <wp:effectExtent l="0" t="0" r="0" b="3810"/>
          <wp:wrapTight wrapText="bothSides">
            <wp:wrapPolygon edited="0">
              <wp:start x="0" y="0"/>
              <wp:lineTo x="0" y="16671"/>
              <wp:lineTo x="1768" y="21020"/>
              <wp:lineTo x="21211" y="21020"/>
              <wp:lineTo x="21211" y="4349"/>
              <wp:lineTo x="19444" y="0"/>
              <wp:lineTo x="0" y="0"/>
            </wp:wrapPolygon>
          </wp:wrapTight>
          <wp:docPr id="43" name="Image 1" descr="Créa Souple:01_EN COURS:DINAN:01_LOGO-IDENTITÉ:04_PROD:CHARTE GRAPHIQUE:LOGOS:LOGO+CARTOUCHE:BLEU:FOND-FONCÉ:RVB:DINAN-AGGLOMERATION-CARTOUCHE_BLEU_FOND-FONCÉ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́a Souple:01_EN COURS:DINAN:01_LOGO-IDENTITÉ:04_PROD:CHARTE GRAPHIQUE:LOGOS:LOGO+CARTOUCHE:BLEU:FOND-FONCÉ:RVB:DINAN-AGGLOMERATION-CARTOUCHE_BLEU_FOND-FONCÉ_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955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A24FC"/>
    <w:multiLevelType w:val="hybridMultilevel"/>
    <w:tmpl w:val="CCA2FB1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4DE114C"/>
    <w:multiLevelType w:val="hybridMultilevel"/>
    <w:tmpl w:val="A82C4D30"/>
    <w:lvl w:ilvl="0" w:tplc="98C4181C">
      <w:start w:val="1"/>
      <w:numFmt w:val="bullet"/>
      <w:lvlText w:val="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715AB"/>
    <w:multiLevelType w:val="hybridMultilevel"/>
    <w:tmpl w:val="C8143BBC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33"/>
    <w:rsid w:val="000F4153"/>
    <w:rsid w:val="001E7B8D"/>
    <w:rsid w:val="002B0C7A"/>
    <w:rsid w:val="002F7AFF"/>
    <w:rsid w:val="00310075"/>
    <w:rsid w:val="003546A4"/>
    <w:rsid w:val="00404F3E"/>
    <w:rsid w:val="00590B62"/>
    <w:rsid w:val="00684249"/>
    <w:rsid w:val="006843CB"/>
    <w:rsid w:val="006A03B8"/>
    <w:rsid w:val="006A5ADD"/>
    <w:rsid w:val="00772D68"/>
    <w:rsid w:val="008F4812"/>
    <w:rsid w:val="009B283F"/>
    <w:rsid w:val="009B3AC4"/>
    <w:rsid w:val="009B704F"/>
    <w:rsid w:val="009F6BAC"/>
    <w:rsid w:val="00A800DE"/>
    <w:rsid w:val="00B17CD5"/>
    <w:rsid w:val="00C762E4"/>
    <w:rsid w:val="00D637D3"/>
    <w:rsid w:val="00D76733"/>
    <w:rsid w:val="00DC7906"/>
    <w:rsid w:val="00DD4933"/>
    <w:rsid w:val="00E04208"/>
    <w:rsid w:val="00E245E5"/>
    <w:rsid w:val="00E4688A"/>
    <w:rsid w:val="00E761A6"/>
    <w:rsid w:val="00F11910"/>
    <w:rsid w:val="00F13F84"/>
    <w:rsid w:val="00FF3024"/>
    <w:rsid w:val="00F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BAE4A7EA-EC91-462F-916C-69AD8C14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F13F84"/>
    <w:pPr>
      <w:keepNext/>
      <w:outlineLvl w:val="1"/>
    </w:pPr>
    <w:rPr>
      <w:rFonts w:ascii="Arial" w:eastAsia="Times New Roman" w:hAnsi="Arial" w:cs="Arial"/>
      <w:b/>
      <w:bCs/>
      <w:lang w:val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13F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F13F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673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/>
    </w:rPr>
  </w:style>
  <w:style w:type="paragraph" w:styleId="En-tte">
    <w:name w:val="header"/>
    <w:basedOn w:val="Normal"/>
    <w:link w:val="En-tteCar"/>
    <w:unhideWhenUsed/>
    <w:rsid w:val="00D767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6733"/>
  </w:style>
  <w:style w:type="paragraph" w:styleId="Pieddepage">
    <w:name w:val="footer"/>
    <w:basedOn w:val="Normal"/>
    <w:link w:val="PieddepageCar"/>
    <w:uiPriority w:val="99"/>
    <w:unhideWhenUsed/>
    <w:rsid w:val="00D767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6733"/>
  </w:style>
  <w:style w:type="paragraph" w:styleId="Textedebulles">
    <w:name w:val="Balloon Text"/>
    <w:basedOn w:val="Normal"/>
    <w:link w:val="TextedebullesCar"/>
    <w:uiPriority w:val="99"/>
    <w:semiHidden/>
    <w:unhideWhenUsed/>
    <w:rsid w:val="00D7673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6733"/>
    <w:rPr>
      <w:rFonts w:ascii="Lucida Grande" w:hAnsi="Lucida Grande" w:cs="Lucida Grande"/>
      <w:sz w:val="18"/>
      <w:szCs w:val="18"/>
    </w:rPr>
  </w:style>
  <w:style w:type="paragraph" w:styleId="Sansinterligne">
    <w:name w:val="No Spacing"/>
    <w:uiPriority w:val="1"/>
    <w:qFormat/>
    <w:rsid w:val="008F4812"/>
  </w:style>
  <w:style w:type="character" w:styleId="Lienhypertexte">
    <w:name w:val="Hyperlink"/>
    <w:basedOn w:val="Policepardfaut"/>
    <w:uiPriority w:val="99"/>
    <w:unhideWhenUsed/>
    <w:rsid w:val="00310075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rsid w:val="00F13F84"/>
    <w:rPr>
      <w:rFonts w:ascii="Arial" w:eastAsia="Times New Roman" w:hAnsi="Arial" w:cs="Arial"/>
      <w:b/>
      <w:bCs/>
      <w:lang w:val="fr-FR"/>
    </w:rPr>
  </w:style>
  <w:style w:type="paragraph" w:styleId="Retraitcorpsdetexte">
    <w:name w:val="Body Text Indent"/>
    <w:basedOn w:val="Normal"/>
    <w:link w:val="RetraitcorpsdetexteCar"/>
    <w:rsid w:val="00F13F84"/>
    <w:pPr>
      <w:pBdr>
        <w:top w:val="thickThinSmallGap" w:sz="12" w:space="13" w:color="auto"/>
        <w:left w:val="thickThinSmallGap" w:sz="12" w:space="0" w:color="auto"/>
        <w:bottom w:val="thinThickSmallGap" w:sz="12" w:space="1" w:color="auto"/>
        <w:right w:val="thinThickSmallGap" w:sz="12" w:space="4" w:color="auto"/>
      </w:pBdr>
      <w:ind w:left="561"/>
    </w:pPr>
    <w:rPr>
      <w:rFonts w:ascii="Arial" w:eastAsia="Times New Roman" w:hAnsi="Arial" w:cs="Arial"/>
      <w:lang w:val="fr-FR"/>
    </w:rPr>
  </w:style>
  <w:style w:type="character" w:customStyle="1" w:styleId="RetraitcorpsdetexteCar">
    <w:name w:val="Retrait corps de texte Car"/>
    <w:basedOn w:val="Policepardfaut"/>
    <w:link w:val="Retraitcorpsdetexte"/>
    <w:rsid w:val="00F13F84"/>
    <w:rPr>
      <w:rFonts w:ascii="Arial" w:eastAsia="Times New Roman" w:hAnsi="Arial" w:cs="Arial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F13F8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rsid w:val="00F13F8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sdetexte">
    <w:name w:val="Body Text"/>
    <w:basedOn w:val="Normal"/>
    <w:link w:val="CorpsdetexteCar"/>
    <w:rsid w:val="00F13F84"/>
    <w:pPr>
      <w:spacing w:after="120"/>
    </w:pPr>
    <w:rPr>
      <w:rFonts w:ascii="Times New Roman" w:eastAsia="Times New Roman" w:hAnsi="Times New Roman" w:cs="Times New Roman"/>
      <w:lang w:val="fr-FR"/>
    </w:rPr>
  </w:style>
  <w:style w:type="character" w:customStyle="1" w:styleId="CorpsdetexteCar">
    <w:name w:val="Corps de texte Car"/>
    <w:basedOn w:val="Policepardfaut"/>
    <w:link w:val="Corpsdetexte"/>
    <w:rsid w:val="00F13F84"/>
    <w:rPr>
      <w:rFonts w:ascii="Times New Roman" w:eastAsia="Times New Roman" w:hAnsi="Times New Roman" w:cs="Times New Roman"/>
      <w:lang w:val="fr-FR"/>
    </w:rPr>
  </w:style>
  <w:style w:type="paragraph" w:styleId="Paragraphedeliste">
    <w:name w:val="List Paragraph"/>
    <w:basedOn w:val="Normal"/>
    <w:uiPriority w:val="34"/>
    <w:qFormat/>
    <w:rsid w:val="00F13F84"/>
    <w:pPr>
      <w:ind w:left="708"/>
    </w:pPr>
    <w:rPr>
      <w:rFonts w:ascii="Times New Roman" w:eastAsia="Times New Roman" w:hAnsi="Times New Roman" w:cs="Times New Roman"/>
      <w:lang w:val="fr-FR"/>
    </w:rPr>
  </w:style>
  <w:style w:type="paragraph" w:styleId="Titre">
    <w:name w:val="Title"/>
    <w:basedOn w:val="Normal"/>
    <w:link w:val="TitreCar"/>
    <w:qFormat/>
    <w:rsid w:val="00590B62"/>
    <w:pPr>
      <w:jc w:val="center"/>
    </w:pPr>
    <w:rPr>
      <w:rFonts w:ascii="Tahoma" w:eastAsia="Times New Roman" w:hAnsi="Tahoma" w:cs="Tahoma"/>
      <w:sz w:val="36"/>
      <w:lang w:val="fr-FR"/>
    </w:rPr>
  </w:style>
  <w:style w:type="character" w:customStyle="1" w:styleId="TitreCar">
    <w:name w:val="Titre Car"/>
    <w:basedOn w:val="Policepardfaut"/>
    <w:link w:val="Titre"/>
    <w:rsid w:val="00590B62"/>
    <w:rPr>
      <w:rFonts w:ascii="Tahoma" w:eastAsia="Times New Roman" w:hAnsi="Tahoma" w:cs="Tahoma"/>
      <w:sz w:val="3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3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Vankemmel Thibaut</dc:creator>
  <cp:lastModifiedBy>Nathalie ROULON</cp:lastModifiedBy>
  <cp:revision>2</cp:revision>
  <cp:lastPrinted>2016-12-16T09:55:00Z</cp:lastPrinted>
  <dcterms:created xsi:type="dcterms:W3CDTF">2017-06-26T13:04:00Z</dcterms:created>
  <dcterms:modified xsi:type="dcterms:W3CDTF">2017-06-26T13:04:00Z</dcterms:modified>
</cp:coreProperties>
</file>